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F03E5C">
      <w:pPr>
        <w:pStyle w:val="4"/>
        <w:spacing w:line="240" w:lineRule="auto"/>
        <w:ind w:firstLine="0" w:firstLineChars="0"/>
        <w:jc w:val="center"/>
        <w:outlineLvl w:val="0"/>
        <w:rPr>
          <w:rFonts w:hint="eastAsia" w:ascii="仿宋" w:hAnsi="仿宋" w:eastAsia="仿宋" w:cs="仿宋"/>
          <w:color w:val="auto"/>
          <w:sz w:val="36"/>
          <w:szCs w:val="36"/>
        </w:rPr>
      </w:pPr>
      <w:r>
        <w:rPr>
          <w:rFonts w:hint="eastAsia" w:ascii="仿宋" w:hAnsi="仿宋" w:eastAsia="仿宋" w:cs="仿宋"/>
          <w:color w:val="auto"/>
          <w:sz w:val="36"/>
          <w:szCs w:val="36"/>
        </w:rPr>
        <w:t>南京中医药大学实验室安全环保检查表</w:t>
      </w:r>
    </w:p>
    <w:p w14:paraId="0F95CFD4">
      <w:pPr>
        <w:pStyle w:val="4"/>
        <w:spacing w:line="240" w:lineRule="auto"/>
        <w:ind w:firstLine="0" w:firstLineChars="0"/>
        <w:jc w:val="left"/>
        <w:outlineLvl w:val="0"/>
        <w:rPr>
          <w:rFonts w:hint="default" w:ascii="华文仿宋" w:hAnsi="华文仿宋" w:eastAsia="华文仿宋" w:cs="华文仿宋"/>
          <w:color w:val="auto"/>
          <w:sz w:val="28"/>
          <w:szCs w:val="28"/>
          <w:lang w:val="en-US" w:eastAsia="zh-CN"/>
        </w:rPr>
      </w:pPr>
      <w:r>
        <w:rPr>
          <w:rFonts w:hint="eastAsia" w:ascii="华文仿宋" w:hAnsi="华文仿宋" w:eastAsia="华文仿宋" w:cs="华文仿宋"/>
          <w:color w:val="auto"/>
          <w:sz w:val="28"/>
          <w:szCs w:val="28"/>
          <w:lang w:val="en-US" w:eastAsia="zh-CN"/>
        </w:rPr>
        <w:t>实验室名称（房间号）：</w:t>
      </w:r>
      <w:bookmarkStart w:id="0" w:name="_GoBack"/>
      <w:bookmarkEnd w:id="0"/>
    </w:p>
    <w:tbl>
      <w:tblPr>
        <w:tblStyle w:val="2"/>
        <w:tblW w:w="4909" w:type="pct"/>
        <w:tblInd w:w="0" w:type="dxa"/>
        <w:tblLayout w:type="autofit"/>
        <w:tblCellMar>
          <w:top w:w="0" w:type="dxa"/>
          <w:left w:w="0" w:type="dxa"/>
          <w:bottom w:w="0" w:type="dxa"/>
          <w:right w:w="0" w:type="dxa"/>
        </w:tblCellMar>
      </w:tblPr>
      <w:tblGrid>
        <w:gridCol w:w="500"/>
        <w:gridCol w:w="7596"/>
        <w:gridCol w:w="912"/>
        <w:gridCol w:w="1287"/>
      </w:tblGrid>
      <w:tr w14:paraId="0B3E9B9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F0482ED">
            <w:pPr>
              <w:widowControl/>
              <w:spacing w:line="240" w:lineRule="exact"/>
              <w:jc w:val="center"/>
              <w:textAlignment w:val="center"/>
              <w:rPr>
                <w:rFonts w:ascii="仿宋" w:hAnsi="仿宋" w:eastAsia="仿宋" w:cs="仿宋"/>
                <w:b/>
                <w:kern w:val="0"/>
                <w:sz w:val="24"/>
                <w:szCs w:val="28"/>
                <w:lang w:bidi="ar"/>
              </w:rPr>
            </w:pP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1EFCF41">
            <w:pPr>
              <w:widowControl/>
              <w:spacing w:line="240" w:lineRule="exact"/>
              <w:jc w:val="left"/>
              <w:textAlignment w:val="center"/>
              <w:rPr>
                <w:rFonts w:ascii="仿宋" w:hAnsi="仿宋" w:eastAsia="仿宋" w:cs="仿宋"/>
                <w:b/>
                <w:kern w:val="0"/>
                <w:sz w:val="24"/>
                <w:szCs w:val="28"/>
                <w:lang w:bidi="ar"/>
              </w:rPr>
            </w:pPr>
            <w:r>
              <w:rPr>
                <w:rFonts w:hint="eastAsia" w:ascii="仿宋" w:hAnsi="仿宋" w:eastAsia="仿宋" w:cs="仿宋"/>
                <w:b/>
                <w:kern w:val="0"/>
                <w:sz w:val="28"/>
                <w:szCs w:val="28"/>
                <w:lang w:bidi="ar"/>
              </w:rPr>
              <w:t>实验室层面</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4043D81">
            <w:pPr>
              <w:spacing w:line="240" w:lineRule="exact"/>
              <w:jc w:val="center"/>
              <w:rPr>
                <w:rFonts w:ascii="仿宋" w:hAnsi="仿宋" w:eastAsia="仿宋" w:cs="仿宋"/>
                <w:sz w:val="24"/>
                <w:szCs w:val="28"/>
              </w:rPr>
            </w:pPr>
            <w:r>
              <w:rPr>
                <w:rFonts w:hint="eastAsia" w:ascii="仿宋" w:hAnsi="仿宋" w:eastAsia="仿宋" w:cs="仿宋"/>
                <w:b/>
                <w:kern w:val="0"/>
                <w:sz w:val="24"/>
                <w:szCs w:val="28"/>
                <w:lang w:bidi="ar"/>
              </w:rPr>
              <w:t>记分值</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2A01E8B">
            <w:pPr>
              <w:spacing w:line="240" w:lineRule="exact"/>
              <w:jc w:val="center"/>
              <w:rPr>
                <w:rFonts w:hint="default" w:ascii="仿宋" w:hAnsi="仿宋" w:eastAsia="仿宋" w:cs="仿宋"/>
                <w:b/>
                <w:kern w:val="0"/>
                <w:sz w:val="24"/>
                <w:szCs w:val="28"/>
                <w:lang w:val="en-US" w:eastAsia="zh-CN" w:bidi="ar"/>
              </w:rPr>
            </w:pPr>
            <w:r>
              <w:rPr>
                <w:rFonts w:hint="eastAsia" w:ascii="仿宋" w:hAnsi="仿宋" w:eastAsia="仿宋" w:cs="仿宋"/>
                <w:b/>
                <w:kern w:val="0"/>
                <w:sz w:val="24"/>
                <w:szCs w:val="28"/>
                <w:lang w:val="en-US" w:eastAsia="zh-CN" w:bidi="ar"/>
              </w:rPr>
              <w:t>确认已整改</w:t>
            </w:r>
          </w:p>
        </w:tc>
      </w:tr>
      <w:tr w14:paraId="20AB5A9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AC3DC8A">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236DC5C">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实验室日常管理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2B1F097">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9029C7">
            <w:pPr>
              <w:spacing w:line="240" w:lineRule="exact"/>
              <w:jc w:val="center"/>
              <w:rPr>
                <w:rFonts w:ascii="仿宋" w:hAnsi="仿宋" w:eastAsia="仿宋" w:cs="仿宋"/>
                <w:sz w:val="24"/>
                <w:szCs w:val="28"/>
              </w:rPr>
            </w:pPr>
          </w:p>
        </w:tc>
      </w:tr>
      <w:tr w14:paraId="53F77682">
        <w:tblPrEx>
          <w:tblCellMar>
            <w:top w:w="0" w:type="dxa"/>
            <w:left w:w="0" w:type="dxa"/>
            <w:bottom w:w="0" w:type="dxa"/>
            <w:right w:w="0" w:type="dxa"/>
          </w:tblCellMar>
        </w:tblPrEx>
        <w:trPr>
          <w:trHeight w:val="416"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DF05E21">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F80A19">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实验过程中无人在岗值守。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605E9E4">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870EAD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0E5201ED">
        <w:tblPrEx>
          <w:tblCellMar>
            <w:top w:w="0" w:type="dxa"/>
            <w:left w:w="0" w:type="dxa"/>
            <w:bottom w:w="0" w:type="dxa"/>
            <w:right w:w="0" w:type="dxa"/>
          </w:tblCellMar>
        </w:tblPrEx>
        <w:trPr>
          <w:trHeight w:val="37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5CAA15B">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9D94BD6">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未通过实验室安全考试，进入实验室开展实验。</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CFEEEC9">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CC9C9F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C1C57DD">
        <w:tblPrEx>
          <w:tblCellMar>
            <w:top w:w="0" w:type="dxa"/>
            <w:left w:w="0" w:type="dxa"/>
            <w:bottom w:w="0" w:type="dxa"/>
            <w:right w:w="0" w:type="dxa"/>
          </w:tblCellMar>
        </w:tblPrEx>
        <w:trPr>
          <w:trHeight w:val="37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5BEBA07">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01E6B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实验室长期闲置不用，责任不落实。</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793866F">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AA810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66CF98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19A30E">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07CAF8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未开展实验，门敞开且无人值守。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88E2F8C">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D65D2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6D30B865">
        <w:tblPrEx>
          <w:tblCellMar>
            <w:top w:w="0" w:type="dxa"/>
            <w:left w:w="0" w:type="dxa"/>
            <w:bottom w:w="0" w:type="dxa"/>
            <w:right w:w="0" w:type="dxa"/>
          </w:tblCellMar>
        </w:tblPrEx>
        <w:trPr>
          <w:trHeight w:val="388"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9EDA1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EFD41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实验结束后，未及时关闭仪器设备；当日最后离开实验室前未关闭水电气、通风橱等。</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41176DF">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2AED3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A0CCB7F">
        <w:tblPrEx>
          <w:tblCellMar>
            <w:top w:w="0" w:type="dxa"/>
            <w:left w:w="0" w:type="dxa"/>
            <w:bottom w:w="0" w:type="dxa"/>
            <w:right w:w="0" w:type="dxa"/>
          </w:tblCellMar>
        </w:tblPrEx>
        <w:trPr>
          <w:trHeight w:val="304"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C4CB6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070B73E">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外来人员（进修或访问学者）未经审批或备案，进入实验室开展实验。</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F7D2A3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59779D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EB98ACD">
        <w:tblPrEx>
          <w:tblCellMar>
            <w:top w:w="0" w:type="dxa"/>
            <w:left w:w="0" w:type="dxa"/>
            <w:bottom w:w="0" w:type="dxa"/>
            <w:right w:w="0" w:type="dxa"/>
          </w:tblCellMar>
        </w:tblPrEx>
        <w:trPr>
          <w:trHeight w:val="390"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8383E5">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w:t>
            </w:r>
            <w:r>
              <w:rPr>
                <w:rFonts w:ascii="仿宋" w:hAnsi="仿宋" w:eastAsia="仿宋" w:cs="仿宋"/>
                <w:kern w:val="0"/>
                <w:sz w:val="24"/>
                <w:szCs w:val="28"/>
                <w:lang w:bidi="ar"/>
              </w:rPr>
              <w:t>.</w:t>
            </w:r>
            <w:r>
              <w:rPr>
                <w:rFonts w:hint="eastAsia" w:ascii="仿宋" w:hAnsi="仿宋" w:eastAsia="仿宋" w:cs="仿宋"/>
                <w:kern w:val="0"/>
                <w:sz w:val="24"/>
                <w:szCs w:val="28"/>
                <w:lang w:bidi="ar"/>
              </w:rPr>
              <w:t>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7C918B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开展高温、高压、高速运转等危险性实验，须制定安全操作规程及防护措施，张贴上墙、严格遵照执行，且</w:t>
            </w:r>
            <w:r>
              <w:rPr>
                <w:rFonts w:ascii="仿宋" w:hAnsi="仿宋" w:eastAsia="仿宋" w:cs="仿宋"/>
                <w:color w:val="000000" w:themeColor="text1"/>
                <w:kern w:val="0"/>
                <w:sz w:val="24"/>
                <w:szCs w:val="28"/>
                <w:lang w:bidi="ar"/>
                <w14:textFill>
                  <w14:solidFill>
                    <w14:schemeClr w14:val="tx1"/>
                  </w14:solidFill>
                </w14:textFill>
              </w:rPr>
              <w:t>须有两人在场</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068AFD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0BD813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BFFC48E">
        <w:tblPrEx>
          <w:tblCellMar>
            <w:top w:w="0" w:type="dxa"/>
            <w:left w:w="0" w:type="dxa"/>
            <w:bottom w:w="0" w:type="dxa"/>
            <w:right w:w="0" w:type="dxa"/>
          </w:tblCellMar>
        </w:tblPrEx>
        <w:trPr>
          <w:trHeight w:val="38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C6EC4C">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1.8</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3043C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实验室内消防通道不通畅，实验室外公共区域堆放危险废物、闲置仪器设备、家具等，侵占消防通道。</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80CA22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7B14B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1E87243">
        <w:tblPrEx>
          <w:tblCellMar>
            <w:top w:w="0" w:type="dxa"/>
            <w:left w:w="0" w:type="dxa"/>
            <w:bottom w:w="0" w:type="dxa"/>
            <w:right w:w="0" w:type="dxa"/>
          </w:tblCellMar>
        </w:tblPrEx>
        <w:trPr>
          <w:trHeight w:val="293"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E4929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1.9</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8AA91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实验室卫生环境脏乱差，实验台面物品摆放混乱，实验完毕化学品等物品未及时归位。</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E038473">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48BB5E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0F0025A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D920E6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1.10</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02E11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未开展实验，门未锁且无人值守。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6EB8003">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D8551D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4779F63">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C93DFA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1.11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3055F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未佩戴必需的个人防护用品开展实验。</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BCC75DC">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C127F8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4F7E505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A73175">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2DF19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实验室未建立安全值日值班制度，无安全值日记录或记录不全。</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191688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DF83D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8855D2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CD3F5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99D1F6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实验室负责人（安全责任人）未每周开展一次实验室安全检查、实验技术安全指导。</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3A130C5">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5131F0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40075B1">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CAC6036">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1.14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3047C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未及时准确在实验室安全智能管理平台维护更新、上报实验室基本信息和危险源信息。</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C1F812D">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77A1D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03DAB8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C312D29">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B05CD0">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用电安全管理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63D4EFC">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523E696">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30608DA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2FA70D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3E9C5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实验室电容量、插头插座与用电设备功率不匹配，存在私自改装的现象。</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468F01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655D52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EE6C62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1ED781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F5AF8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配电箱、开关、插座等周围堆放易燃易爆物品。配电柜/箱被物品遮挡。</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CF98FDC">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C20DB9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9C6124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6B7A1E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3AFD0E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电源插座未固定，私拉乱接电线电缆，多个接线板串接供电，接线板直接置于地面。</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6BB41B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8E536B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7A1BF4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9D7F28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CC7D9F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电吹风、电热枪等用毕，未及时拔除电源插头。</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4FAC3AF">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AF09C8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480527EB">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6555DD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DBA0CE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确因教学科研工作需要而不断电的仪器设备,未履行报备手续、未进行日常安全巡查、未做好巡查记录。</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F3976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18099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CA35D1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76F9976">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2BD750E">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化学品管理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F6A7C0F">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5BFFF25">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2EC2D157">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B51693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C46914">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未经审批私自采购剧毒、易制爆、易制毒等管控化学品或私自从外单位接收管控化学品，存储不符合规范要求。</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FDD29A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06F0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9CDBDE9">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68923F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3B3A67">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相互接触会发生剧烈反应的化学品未有序分类摆放（强氧化性与强还原性混放，强酸与强碱等混放）。</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7AD6CA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E6D66B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389E962">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F97B7C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63FD9C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合理控制化学品的存储量，实验室内存放的危险化学品（不含压缩气体和液化气体）原则上不应超过100L或100Kg，其中易燃易爆性化学品的存放总量不应超过50L或50Kg，且单一包装容器不应大于20L或20Kg（按50m2为标准，存放量按实验室面积比考量）。</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EF1B2C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F0A986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2B09A2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359E2B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F0C661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易制毒、易制爆等管控化学品用后未及时放回专用存储柜，未使用时专用存储柜未锁。</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23B4D3">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D9A0CD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0849B5FC">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E4CC18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B9A1019">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易制毒、易制爆等管控化学品未存储在专用储存柜，未严格落实双人双锁管理（双人掌管钥匙，双人开门）。</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816A76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03C322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0A69D19">
        <w:tblPrEx>
          <w:tblCellMar>
            <w:top w:w="0" w:type="dxa"/>
            <w:left w:w="0" w:type="dxa"/>
            <w:bottom w:w="0" w:type="dxa"/>
            <w:right w:w="0" w:type="dxa"/>
          </w:tblCellMar>
        </w:tblPrEx>
        <w:trPr>
          <w:trHeight w:val="383"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8168A9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47304A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易制毒等管控化学品专用存储柜未配备视频监控或视频存储时间小于30天。</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D089C95">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42269E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010D6DA3">
        <w:tblPrEx>
          <w:tblCellMar>
            <w:top w:w="0" w:type="dxa"/>
            <w:left w:w="0" w:type="dxa"/>
            <w:bottom w:w="0" w:type="dxa"/>
            <w:right w:w="0" w:type="dxa"/>
          </w:tblCellMar>
        </w:tblPrEx>
        <w:trPr>
          <w:trHeight w:val="275"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6B80904">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E87949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易制毒、易制爆等管控化学品未建立详细的使用台帐、未记录用途和流向、账物不符。</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93D496">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5269DC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E0CCA1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433D80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3.8</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740598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化学品未严格分类、分区域整理放置，未按照规范要求张贴化学品清单。</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370E4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7E71B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C6D3F92">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9E7A3F1">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3846E74">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气瓶管理</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6DBC41">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95CAB1">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7EF8919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E1A7AD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28188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可燃性气体与氧气等助燃气体混放。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8235E54">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12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A5D1E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1F2C5D4A">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6E8471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64ED0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实验室气瓶超过检测有效期，或存放过期的废弃钢瓶。</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6DD72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E021EE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F8C034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5265A3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2AA80B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气瓶未固定/固定方式不合理。</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2E0106">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CE6BD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10153F3">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B4727A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929E5C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氧气瓶未使用氧气专用阀，氧气整体系统有油脂。</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214643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B7D20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5EB84C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C51B505">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04C887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气体管线标识不清，气体管路材质不合适，存在破损、老化现象。</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179142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80CA26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AECD14A">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6BD344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948A9CC">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使用易燃易爆气体的实验室，未配备通风设施和相应的气体泄漏报警装置。</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D5CC77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5A466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2A80502">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35F321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62320D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使用大量窒息性气体的实验室，未加装氧气含量报警表。</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7D6824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A3C92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0B945A5">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8BCC03D">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CD7C4B4">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危险废物管理</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CA79E5">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6A515E2">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4960B369">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D0274AE">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777FC7">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随意处置（倾倒、丢弃、掩埋等）实验室危险废物。</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D6E2A9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CCF9B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493C694">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A385C77">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68BD0B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化学废弃物未进行分类收集与存放（易产生剧烈化学反应的废弃物混放）。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2A3986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E28DE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A4F8B6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AEEC3A4">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6074E2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危险废物与生活垃圾混放。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6DC1C1">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D0C5C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79B6FE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85EA1FE">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5.4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3A3882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实验室无危险废物产生、转移台账。</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93852B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EE1DF5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50442C0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6A1E75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5.5</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3D07F08">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实验室未指定专门位置存放危险废物，未设置警戒线。</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749919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139CC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9B5E0A0">
        <w:tblPrEx>
          <w:tblCellMar>
            <w:top w:w="0" w:type="dxa"/>
            <w:left w:w="0" w:type="dxa"/>
            <w:bottom w:w="0" w:type="dxa"/>
            <w:right w:w="0" w:type="dxa"/>
          </w:tblCellMar>
        </w:tblPrEx>
        <w:trPr>
          <w:trHeight w:val="373"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FF77F8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5.6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1996EDD">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废弃物包装容器上未张贴相应的危险废物标签。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3F562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904D3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3ACBC1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44302B5">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6</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95929DA">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特种设备管理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820D652">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E3A6494">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0E51A81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8213AE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535FA76">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无特种设备使用登记证，特种设备操作人员未持证上岗。</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CEB8FC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DF4EF8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1C3737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B1B6C8C">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6.2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5FD694">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特种设备周边未张贴安全操作规程和定期检验合格证，未建立日管控周排查记录台账。</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3620273">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AC303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775470B8">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52C2A53">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7</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60706AF">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加热设备管理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14916E84">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84BB25D">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09548757">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3C7DEB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29FB8D5">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烘箱等加热设备内烘烤易燃易爆试剂及易燃物品。</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9F11A56">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37D2C3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1E7E4C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C76BD5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141FA9B">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加热设备直接放置在木桌、木板等易燃物品上，周围有易燃易爆物品、气体钢瓶等。</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04C7B9B">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21A933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20E07B13">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6F16E4B">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19EF9F">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使用烘箱、电炉等加热设备时无人值守。</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922FB2C">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6CAF706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13B3EAAA">
        <w:tblPrEx>
          <w:tblCellMar>
            <w:top w:w="0" w:type="dxa"/>
            <w:left w:w="0" w:type="dxa"/>
            <w:bottom w:w="0" w:type="dxa"/>
            <w:right w:w="0" w:type="dxa"/>
          </w:tblCellMar>
        </w:tblPrEx>
        <w:trPr>
          <w:trHeight w:val="290"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82952B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7.4</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3669FB4">
            <w:pPr>
              <w:widowControl/>
              <w:spacing w:line="240" w:lineRule="exact"/>
              <w:jc w:val="left"/>
              <w:textAlignment w:val="center"/>
              <w:rPr>
                <w:rFonts w:ascii="仿宋" w:hAnsi="仿宋" w:eastAsia="仿宋" w:cs="仿宋"/>
                <w:sz w:val="24"/>
                <w:szCs w:val="28"/>
              </w:rPr>
            </w:pPr>
            <w:r>
              <w:rPr>
                <w:rFonts w:hint="eastAsia" w:ascii="仿宋" w:hAnsi="仿宋" w:eastAsia="仿宋" w:cs="仿宋"/>
                <w:color w:val="000000" w:themeColor="text1"/>
                <w:kern w:val="0"/>
                <w:sz w:val="24"/>
                <w:szCs w:val="28"/>
                <w:lang w:bidi="ar"/>
                <w14:textFill>
                  <w14:solidFill>
                    <w14:schemeClr w14:val="tx1"/>
                  </w14:solidFill>
                </w14:textFill>
              </w:rPr>
              <w:t>加热设备周边未张贴高温警示标识和安全操作规程。</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2E0A2DB">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1</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2D6CD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06F2EACB">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C073A07">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8</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B65056C">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冰箱管理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A8ACD27">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DD79602">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71F612A1">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48B8D01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8.1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8366030">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未使用防爆冰箱或未经防爆改造的冰箱储存易燃易爆化学品。</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ABECDFD">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3135CF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642EC1E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85B4270">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8.2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183067E">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冰箱内存放的物品标识不明确。冰箱内不同性质化学品混放，试剂叠放（未使用试剂架）、堆放。</w:t>
            </w:r>
          </w:p>
        </w:tc>
        <w:tc>
          <w:tcPr>
            <w:tcW w:w="445"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C39A9EC">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2</w:t>
            </w:r>
          </w:p>
        </w:tc>
        <w:tc>
          <w:tcPr>
            <w:tcW w:w="627"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2FE060E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23AA8F1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54AB1BF">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9</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A2BEBA2">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生物安全管理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37AB408">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EF5FB16">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17BBB5FE">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1FA0B9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9.1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7F045B27">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饲养实验动物的场所无资质证书。</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F49FFAA">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4</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14D700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417EA40A">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9EAD030">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9.2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182ED621">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实验动物未从具有资质的单位购买，无合格证明。用于解剖的实验动物未经过检验检。</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D937E22">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7A0859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363F7DD6">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0E0972F">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9.3</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2F76EC2">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未将动物尸体交至动物中心和专业的处理公司处置。</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D17F1D8">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3</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A9D40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kern w:val="0"/>
                <w:sz w:val="24"/>
                <w:szCs w:val="28"/>
                <w:lang w:bidi="ar"/>
              </w:rPr>
            </w:pPr>
            <w:r>
              <w:rPr>
                <w:rFonts w:hint="eastAsia" w:ascii="仿宋" w:hAnsi="仿宋" w:eastAsia="仿宋" w:cs="仿宋"/>
                <w:kern w:val="0"/>
                <w:sz w:val="24"/>
                <w:szCs w:val="28"/>
                <w:lang w:bidi="ar"/>
              </w:rPr>
              <w:sym w:font="Wingdings 2" w:char="00A3"/>
            </w:r>
          </w:p>
        </w:tc>
      </w:tr>
      <w:tr w14:paraId="196DE570">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CA02861">
            <w:pPr>
              <w:widowControl/>
              <w:spacing w:line="240" w:lineRule="exact"/>
              <w:jc w:val="center"/>
              <w:textAlignment w:val="center"/>
              <w:rPr>
                <w:rFonts w:ascii="仿宋" w:hAnsi="仿宋" w:eastAsia="仿宋" w:cs="仿宋"/>
                <w:b/>
                <w:sz w:val="24"/>
                <w:szCs w:val="28"/>
              </w:rPr>
            </w:pPr>
            <w:r>
              <w:rPr>
                <w:rFonts w:hint="eastAsia" w:ascii="仿宋" w:hAnsi="仿宋" w:eastAsia="仿宋" w:cs="仿宋"/>
                <w:b/>
                <w:kern w:val="0"/>
                <w:sz w:val="24"/>
                <w:szCs w:val="28"/>
                <w:lang w:bidi="ar"/>
              </w:rPr>
              <w:t>10</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03E066C1">
            <w:pPr>
              <w:widowControl/>
              <w:spacing w:line="240" w:lineRule="exact"/>
              <w:jc w:val="left"/>
              <w:textAlignment w:val="center"/>
              <w:rPr>
                <w:rFonts w:ascii="仿宋" w:hAnsi="仿宋" w:eastAsia="仿宋" w:cs="仿宋"/>
                <w:b/>
                <w:sz w:val="24"/>
                <w:szCs w:val="28"/>
              </w:rPr>
            </w:pPr>
            <w:r>
              <w:rPr>
                <w:rFonts w:hint="eastAsia" w:ascii="仿宋" w:hAnsi="仿宋" w:eastAsia="仿宋" w:cs="仿宋"/>
                <w:b/>
                <w:kern w:val="0"/>
                <w:sz w:val="24"/>
                <w:szCs w:val="28"/>
                <w:lang w:bidi="ar"/>
              </w:rPr>
              <w:t>应急设施管理</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72912CCF">
            <w:pPr>
              <w:spacing w:line="240" w:lineRule="exact"/>
              <w:jc w:val="center"/>
              <w:rPr>
                <w:rFonts w:ascii="仿宋" w:hAnsi="仿宋" w:eastAsia="仿宋" w:cs="仿宋"/>
                <w:sz w:val="24"/>
                <w:szCs w:val="28"/>
              </w:rPr>
            </w:pP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C100ADA">
            <w:pPr>
              <w:keepNext w:val="0"/>
              <w:keepLines w:val="0"/>
              <w:pageBreakBefore w:val="0"/>
              <w:kinsoku/>
              <w:wordWrap/>
              <w:overflowPunct/>
              <w:topLinePunct w:val="0"/>
              <w:autoSpaceDE/>
              <w:autoSpaceDN/>
              <w:bidi w:val="0"/>
              <w:adjustRightInd/>
              <w:snapToGrid/>
              <w:spacing w:line="240" w:lineRule="auto"/>
              <w:jc w:val="center"/>
              <w:rPr>
                <w:rFonts w:ascii="仿宋" w:hAnsi="仿宋" w:eastAsia="仿宋" w:cs="仿宋"/>
                <w:sz w:val="24"/>
                <w:szCs w:val="28"/>
              </w:rPr>
            </w:pPr>
          </w:p>
        </w:tc>
      </w:tr>
      <w:tr w14:paraId="19F168DF">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3203DB41">
            <w:pPr>
              <w:widowControl/>
              <w:spacing w:line="240" w:lineRule="exact"/>
              <w:jc w:val="center"/>
              <w:textAlignment w:val="center"/>
              <w:rPr>
                <w:rFonts w:ascii="仿宋" w:hAnsi="仿宋" w:eastAsia="仿宋" w:cs="仿宋"/>
                <w:sz w:val="24"/>
                <w:szCs w:val="28"/>
              </w:rPr>
            </w:pPr>
            <w:r>
              <w:rPr>
                <w:rFonts w:hint="eastAsia" w:ascii="仿宋" w:hAnsi="仿宋" w:eastAsia="仿宋" w:cs="仿宋"/>
                <w:kern w:val="0"/>
                <w:sz w:val="24"/>
                <w:szCs w:val="28"/>
                <w:lang w:bidi="ar"/>
              </w:rPr>
              <w:t>10.1</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64B146C2">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存在潜在化学和生物危害的实验室（区域）未配备洗眼器或不能正常使用。</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4158BD7D">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2</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BF000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r w14:paraId="4B32D58D">
        <w:tblPrEx>
          <w:tblCellMar>
            <w:top w:w="0" w:type="dxa"/>
            <w:left w:w="0" w:type="dxa"/>
            <w:bottom w:w="0" w:type="dxa"/>
            <w:right w:w="0" w:type="dxa"/>
          </w:tblCellMar>
        </w:tblPrEx>
        <w:trPr>
          <w:trHeight w:val="309" w:hRule="atLeast"/>
        </w:trPr>
        <w:tc>
          <w:tcPr>
            <w:tcW w:w="23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0C5531E7">
            <w:pPr>
              <w:widowControl/>
              <w:spacing w:line="240" w:lineRule="exact"/>
              <w:jc w:val="center"/>
              <w:textAlignment w:val="center"/>
              <w:rPr>
                <w:rFonts w:ascii="仿宋" w:hAnsi="仿宋" w:eastAsia="仿宋" w:cs="仿宋"/>
                <w:kern w:val="0"/>
                <w:sz w:val="24"/>
                <w:szCs w:val="28"/>
                <w:lang w:bidi="ar"/>
              </w:rPr>
            </w:pPr>
            <w:r>
              <w:rPr>
                <w:rFonts w:hint="eastAsia" w:ascii="仿宋" w:hAnsi="仿宋" w:eastAsia="仿宋" w:cs="仿宋"/>
                <w:kern w:val="0"/>
                <w:sz w:val="24"/>
                <w:szCs w:val="28"/>
                <w:lang w:bidi="ar"/>
              </w:rPr>
              <w:t>10.2</w:t>
            </w:r>
          </w:p>
        </w:tc>
        <w:tc>
          <w:tcPr>
            <w:tcW w:w="3690" w:type="pct"/>
            <w:tcBorders>
              <w:top w:val="single" w:color="000000" w:sz="4" w:space="0"/>
              <w:left w:val="single" w:color="000000" w:sz="4" w:space="0"/>
              <w:bottom w:val="single" w:color="000000" w:sz="4" w:space="0"/>
              <w:right w:val="single" w:color="000000" w:sz="4" w:space="0"/>
            </w:tcBorders>
            <w:tcMar>
              <w:top w:w="10" w:type="dxa"/>
              <w:left w:w="10" w:type="dxa"/>
              <w:right w:w="10" w:type="dxa"/>
            </w:tcMar>
            <w:vAlign w:val="center"/>
          </w:tcPr>
          <w:p w14:paraId="5E7F7DFA">
            <w:pPr>
              <w:widowControl/>
              <w:spacing w:line="240" w:lineRule="exact"/>
              <w:jc w:val="left"/>
              <w:textAlignment w:val="center"/>
              <w:rPr>
                <w:rFonts w:ascii="仿宋" w:hAnsi="仿宋" w:eastAsia="仿宋" w:cs="仿宋"/>
                <w:color w:val="000000" w:themeColor="text1"/>
                <w:kern w:val="0"/>
                <w:sz w:val="24"/>
                <w:szCs w:val="28"/>
                <w:lang w:bidi="ar"/>
                <w14:textFill>
                  <w14:solidFill>
                    <w14:schemeClr w14:val="tx1"/>
                  </w14:solidFill>
                </w14:textFill>
              </w:rPr>
            </w:pPr>
            <w:r>
              <w:rPr>
                <w:rFonts w:hint="eastAsia" w:ascii="仿宋" w:hAnsi="仿宋" w:eastAsia="仿宋" w:cs="仿宋"/>
                <w:color w:val="000000" w:themeColor="text1"/>
                <w:kern w:val="0"/>
                <w:sz w:val="24"/>
                <w:szCs w:val="28"/>
                <w:lang w:bidi="ar"/>
                <w14:textFill>
                  <w14:solidFill>
                    <w14:schemeClr w14:val="tx1"/>
                  </w14:solidFill>
                </w14:textFill>
              </w:rPr>
              <w:t>危险性实验室未配备急救药品或急救药品过期。</w:t>
            </w:r>
          </w:p>
        </w:tc>
        <w:tc>
          <w:tcPr>
            <w:tcW w:w="445"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573EF266">
            <w:pPr>
              <w:widowControl/>
              <w:spacing w:line="240" w:lineRule="exact"/>
              <w:jc w:val="center"/>
              <w:textAlignment w:val="center"/>
              <w:rPr>
                <w:rFonts w:ascii="仿宋" w:hAnsi="仿宋" w:eastAsia="仿宋" w:cs="仿宋"/>
                <w:sz w:val="24"/>
                <w:szCs w:val="28"/>
              </w:rPr>
            </w:pPr>
            <w:r>
              <w:rPr>
                <w:rFonts w:hint="eastAsia" w:ascii="仿宋" w:hAnsi="仿宋" w:eastAsia="仿宋" w:cs="仿宋"/>
                <w:sz w:val="24"/>
                <w:szCs w:val="28"/>
              </w:rPr>
              <w:t>1</w:t>
            </w:r>
          </w:p>
        </w:tc>
        <w:tc>
          <w:tcPr>
            <w:tcW w:w="627" w:type="pct"/>
            <w:tcBorders>
              <w:top w:val="single" w:color="000000" w:sz="4" w:space="0"/>
              <w:left w:val="single" w:color="000000" w:sz="4" w:space="0"/>
              <w:bottom w:val="single" w:color="000000" w:sz="4" w:space="0"/>
              <w:right w:val="single" w:color="000000" w:sz="4" w:space="0"/>
            </w:tcBorders>
            <w:noWrap/>
            <w:tcMar>
              <w:top w:w="10" w:type="dxa"/>
              <w:left w:w="10" w:type="dxa"/>
              <w:right w:w="10" w:type="dxa"/>
            </w:tcMar>
            <w:vAlign w:val="center"/>
          </w:tcPr>
          <w:p w14:paraId="27FEDFB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8"/>
              </w:rPr>
            </w:pPr>
            <w:r>
              <w:rPr>
                <w:rFonts w:hint="eastAsia" w:ascii="仿宋" w:hAnsi="仿宋" w:eastAsia="仿宋" w:cs="仿宋"/>
                <w:kern w:val="0"/>
                <w:sz w:val="24"/>
                <w:szCs w:val="28"/>
                <w:lang w:bidi="ar"/>
              </w:rPr>
              <w:sym w:font="Wingdings 2" w:char="00A3"/>
            </w:r>
          </w:p>
        </w:tc>
      </w:tr>
    </w:tbl>
    <w:p w14:paraId="3E8646EA">
      <w:pPr>
        <w:pStyle w:val="4"/>
        <w:spacing w:line="20" w:lineRule="exact"/>
        <w:ind w:firstLine="0" w:firstLineChars="0"/>
        <w:outlineLvl w:val="0"/>
        <w:rPr>
          <w:rFonts w:ascii="华文仿宋" w:hAnsi="华文仿宋" w:eastAsia="华文仿宋" w:cs="华文仿宋"/>
          <w:b w:val="0"/>
          <w:bCs/>
          <w:color w:val="auto"/>
          <w:sz w:val="28"/>
          <w:szCs w:val="30"/>
        </w:rPr>
      </w:pPr>
    </w:p>
    <w:p w14:paraId="5802ADD0"/>
    <w:p w14:paraId="67ABD026"/>
    <w:p w14:paraId="2F079EA0">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实验室负责人（签字）：                 实验室安全负责人（签字）：</w:t>
      </w:r>
    </w:p>
    <w:p w14:paraId="1DD7BD40"/>
    <w:p w14:paraId="33ED1ACF"/>
    <w:p w14:paraId="65B4043F"/>
    <w:p w14:paraId="3AB6EEE0"/>
    <w:p w14:paraId="1C88C7D6"/>
    <w:p w14:paraId="6414FE57"/>
    <w:p w14:paraId="74DBC576"/>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8510A"/>
    <w:rsid w:val="2BDC1404"/>
    <w:rsid w:val="4FE8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第一条"/>
    <w:basedOn w:val="1"/>
    <w:qFormat/>
    <w:uiPriority w:val="0"/>
    <w:pPr>
      <w:widowControl/>
      <w:adjustRightInd w:val="0"/>
      <w:spacing w:line="500" w:lineRule="exact"/>
      <w:ind w:firstLine="643" w:firstLineChars="200"/>
      <w:jc w:val="left"/>
    </w:pPr>
    <w:rPr>
      <w:rFonts w:hAnsi="宋体" w:eastAsia="仿宋_GB2312"/>
      <w:b/>
      <w:color w:val="000000"/>
      <w:kern w:val="0"/>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2024-12-05T08:58:00Z</dcterms:created>
  <dc:creator>万俟鸢</dc:creator>
  <cp:lastModifiedBy>万俟鸢</cp:lastModifiedBy>
  <dcterms:modified xsi:type="dcterms:W3CDTF">2024-12-05T09:04:16Z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3F83C9A5569D45DAA9E954DCDC3CE656_11</vt:lpwstr>
  </property>
</Properties>
</file>